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6" w:rsidRPr="00E067B6" w:rsidRDefault="00E067B6" w:rsidP="00E067B6">
      <w:pPr>
        <w:shd w:val="clear" w:color="auto" w:fill="FFFFFF"/>
        <w:spacing w:after="0" w:line="435" w:lineRule="atLeast"/>
        <w:outlineLvl w:val="0"/>
        <w:rPr>
          <w:rFonts w:ascii="Sintony" w:eastAsia="Times New Roman" w:hAnsi="Sintony" w:cs="Times New Roman"/>
          <w:b/>
          <w:bCs/>
          <w:color w:val="58595B"/>
          <w:kern w:val="36"/>
          <w:sz w:val="33"/>
          <w:szCs w:val="33"/>
          <w:lang w:eastAsia="it-IT"/>
        </w:rPr>
      </w:pPr>
      <w:r w:rsidRPr="00E067B6">
        <w:rPr>
          <w:rFonts w:ascii="Sintony" w:eastAsia="Times New Roman" w:hAnsi="Sintony" w:cs="Times New Roman"/>
          <w:b/>
          <w:bCs/>
          <w:color w:val="58595B"/>
          <w:kern w:val="36"/>
          <w:sz w:val="33"/>
          <w:szCs w:val="33"/>
          <w:lang w:eastAsia="it-IT"/>
        </w:rPr>
        <w:t>A</w:t>
      </w:r>
      <w:bookmarkStart w:id="0" w:name="_GoBack"/>
      <w:bookmarkEnd w:id="0"/>
      <w:r w:rsidRPr="00E067B6">
        <w:rPr>
          <w:rFonts w:ascii="Sintony" w:eastAsia="Times New Roman" w:hAnsi="Sintony" w:cs="Times New Roman"/>
          <w:b/>
          <w:bCs/>
          <w:color w:val="58595B"/>
          <w:kern w:val="36"/>
          <w:sz w:val="33"/>
          <w:szCs w:val="33"/>
          <w:lang w:eastAsia="it-IT"/>
        </w:rPr>
        <w:t xml:space="preserve"> Roma Tre la presentazione della Relazione svolta dall’Arbitro Bancario e Finanziario nel 2016</w:t>
      </w:r>
    </w:p>
    <w:p w:rsidR="00E067B6" w:rsidRPr="00E067B6" w:rsidRDefault="00E067B6" w:rsidP="00E067B6">
      <w:pPr>
        <w:shd w:val="clear" w:color="auto" w:fill="FFFFFF"/>
        <w:spacing w:line="240" w:lineRule="auto"/>
        <w:rPr>
          <w:rFonts w:ascii="Sintony" w:eastAsia="Times New Roman" w:hAnsi="Sintony" w:cs="Times New Roman"/>
          <w:color w:val="323232"/>
          <w:sz w:val="21"/>
          <w:szCs w:val="21"/>
          <w:lang w:eastAsia="it-IT"/>
        </w:rPr>
      </w:pPr>
      <w:r w:rsidRPr="00E067B6">
        <w:rPr>
          <w:rFonts w:ascii="Sintony" w:eastAsia="Times New Roman" w:hAnsi="Sintony" w:cs="Times New Roman"/>
          <w:color w:val="323232"/>
          <w:sz w:val="21"/>
          <w:szCs w:val="21"/>
          <w:lang w:eastAsia="it-IT"/>
        </w:rPr>
        <w:t>di Andrea Zanello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Nell’ambito dei sistemi alternativi di risoluzione delle controversie l’Arbitro Bancario Finanziario è oggi un organismo che si è conquistato uno spazio proprio con una organizzazione ogni anno più articolata ed effi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ciente e facendo fronte ad un sempre più elevato numero di questioni, di cui molte di importo contenuto e che difficilmente avrebbero accesso ai tribunali a causa dei costi e dei tempi del processo civile.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ABF ha finito così per assumere un ruolo non già e non tanto di alternativa  alla giustizia ordinaria, ma di strumento di tutela in più per il cliente, che ha allar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gato il no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vero delle lamentele a cui si può in concreto porre ri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medio e che, più che sostituirsi alla giustizia ordinaria o limitarsi ad alleggerirne l’arretrato, la integra.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Un modo nuovo e diverso, ma utile e concreto per ampliare le tutele della parte de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bole e per innalzare il livello di realizzazione dei reciproci diritti e do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veri.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Questa è forse la più importante delle conclusioni con cui si è chiuso l’evento di presentazione della Relazione sull’attività svolta dall’ABF nel 2016, svoltosi presso la Facoltà di Giurispru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denza dell’Università Roma Tre lo scorso 20 luglio.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Presentata dal Capo Servizio Tutela dei clienti e antiriciclaggio della Banca d’Italia Magda Bianco e dal responsabile della Divisione Coordinamento ABF Marghe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 xml:space="preserve">rita </w:t>
      </w:r>
      <w:proofErr w:type="spellStart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Cartechini</w:t>
      </w:r>
      <w:proofErr w:type="spellEnd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, la Rela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zione (pubblicata sul sito istituzionale di ABF) è stata discussa dal Presidente del Collegio ABF di Pa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 xml:space="preserve">lermo Maria Rosa Maugeri, dal Presidente del Conciliatore Bancario Finanziario Chiara Mancini e dal Presidente del Movimento Difesa del Cittadino Francesco </w:t>
      </w:r>
      <w:proofErr w:type="spellStart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Luongo</w:t>
      </w:r>
      <w:proofErr w:type="spellEnd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, sotto la stimolante e preziosa mo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derazione del Primo Presidente Aggiunto della Corte Su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prema di Cassazione Renato Rordorf. Ha concluso i lavori il Vice Direttore Generale della Banca d’Italia Luigi Fede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rico Signorini.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Come è noto l’ABF, competente in materia di rapporti e servizi bancari e finan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ziari, si af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fianca in parallelo agli altri istituti di ADR (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in primis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, mediazione e negozia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zione assi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stita) che mirano, invece, a promuovere e facilitare un percorso conciliativo consensuale.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La specificità di ABF sta nel fatto che l’arbitro affronta il merito delle questioni introdotte ed emette decisioni, che sono però prive di effica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cia esecu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tiva e non vin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co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lanti per le parti, le quali, pur sostanzialmente obbligate a presen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tarsi, re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stano libere di agire comunque in giudizio: una sorta di parere 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 xml:space="preserve">pro </w:t>
      </w:r>
      <w:proofErr w:type="spellStart"/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ve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softHyphen/>
        <w:t>ritate</w:t>
      </w:r>
      <w:proofErr w:type="spellEnd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 e secondo diritto, prove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niente da una fonte terza e imparziale, tecnicamente qualificata e, come tale, dotata di un elevato grado di attendibilità.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L’adesione spontanea è quindi la norma, con un tasso di inadempimento infe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riore all’1% dei casi.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E a ciò si aggiunga che, laddove all’inadempimento sia seguito un contenzioso, l’esito del giudizio è risultato conforme alla decisione dell’Arbitro nel 73% dei casi.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I dati del 2016 evidenziano un notevole incremento dei ricorsi presentati presso i sette Collegi attivi sul territorio (Roma, Milano e Palermo, ai quali si sono ag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giunti Torino, Bologna, Bari e Na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poli di nuova istituzione): dai 13.578 ricorsi del 2015 ai 21.652 del 2016, con un + 59,5% do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vuto principal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mente all’aumento dei ricorsi in materia di cessione del quinto dello sti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pendio o della pensione (passati da 7.414 del 2015 a 15.297 del 2016).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lastRenderedPageBreak/>
        <w:t>Secondo un 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trend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 sempre cre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scente, nella stragrande maggio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ranza dei casi i ri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correnti appartengono alla categoria dei consumatori: si tratta quindi di persone fisiche che operano, nella sostanza, per esigenze della vita quotidiana e non di professionisti, imprese, società o altri enti.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Per tale tipologia di ricorrente si è passati dall’84% (su 5.900 ricorsi circa) del 2012 al 96% (su 21.652 ricorsi) del 2016.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Nelle 220 riunioni tenutesi nell’anno i Collegi hanno deciso 14.739 casi (13.770 decisioni di merito e 609 pronunce di inammissibilità), con una percentuale di accogli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mento del 49,47% (6.812 casi).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Il che ha comportato il riconoscimento alla clientela di oltre 13 milioni di euro: una risposta in tempi ragionevolmente brevi ad una domanda altrimenti destinata a ri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manere inevasa.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Da questi numeri promana la funzione (per così dire) 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nomofilattica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 dell’Arbitro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L’agire dei protagonisti è positivamente condizionato dalla possibilità di di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 xml:space="preserve">sporre in </w:t>
      </w:r>
      <w:proofErr w:type="spellStart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anticio</w:t>
      </w:r>
      <w:proofErr w:type="spellEnd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 di indicazioni consolidate ed affidabili sul da farsi per evitare l’insorgere delle controversie, tanto che è stata rilevata una effettiva diminuzione del contenzioso in al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cune materie, quale ad esempio quella sugli utilizzi fraudolenti delle carte di debito e di credito, in virtù di una razionalizzazione dei comportamenti degli utenti e di un più alto livello dei sistemi di sicurezza, cui ha contribuito (tra gli altri fat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tori) anche l’esperienza emersa in sede arbitrale.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La Relazione contiene pertanto una sintetica rassegna degli orientamenti soprat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tutto del Col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legio di coordinamento e cioè delle “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sezioni unite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” dei Collegi territoriali.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Si segnalano, tra le più importanti, le decisioni in materia di cessione del quinto (nel caso di estinzione anticipata, sui criteri di liquida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zione del rimborso dei costi pa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gati, ma non maturati e sui requisiti per la rimborsabilità delle commissioni versate all’agente; nonché sul diritto e sulla misura del risarcimento del danno per violazione del di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vieto di contrarre un nuovo finanziamento); sui criteri di calcolo del TAEG con parti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colare riferimento ai costi delle polizze assicurative ed al tema della reclamata pos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sibi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lità di sommatoria tra gli interessi corrispettivi e gli interessi di mora; sull’esercizio del c.d. </w:t>
      </w:r>
      <w:proofErr w:type="spellStart"/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ius</w:t>
      </w:r>
      <w:proofErr w:type="spellEnd"/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 xml:space="preserve"> </w:t>
      </w:r>
      <w:proofErr w:type="spellStart"/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variandi</w:t>
      </w:r>
      <w:proofErr w:type="spellEnd"/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; sulle varie tematiche relative la fideiussione; sulle spese legali in caso di cessazione della materia del contendere.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Altrettanto rilevante, a conferma dell’elevato tasso di attendibilità delle deci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sioni di cui si è detto, è il capitolo dedicato al rapporto tra l’ABF ed il contenzioso civile.</w:t>
      </w:r>
    </w:p>
    <w:p w:rsidR="00E067B6" w:rsidRPr="00E067B6" w:rsidRDefault="00E067B6" w:rsidP="00E067B6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Mentre sui temi dell’usura in ambito bancario (metodologia di calcolo del TEG; rilevanza degli interessi di mora e dei costi eventuali; usura sopravvenuta) il quadro giu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risprudenziale di legittimità e di merito appare ancora “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variegato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”, anche se la Rela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zione segnala tuttavia una “</w:t>
      </w:r>
      <w:r w:rsidRPr="00E067B6">
        <w:rPr>
          <w:rFonts w:ascii="Sintony" w:eastAsia="Times New Roman" w:hAnsi="Sintony" w:cs="Times New Roman"/>
          <w:i/>
          <w:iCs/>
          <w:color w:val="111111"/>
          <w:sz w:val="20"/>
          <w:szCs w:val="20"/>
          <w:lang w:eastAsia="it-IT"/>
        </w:rPr>
        <w:t>crescente attenzione dei giudici per i criteri interpretativi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” dell’arbitro, una ben maggiore conformità emerge sul contezioso relativo ai mutui ed agli altri strumenti di finanziamento (clausola di tasso minimo; indicizzazione al franco svizzero; anatocismo ed ammortamento alla francese); sulle criticità dei servizi di paga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mento (utilizzo non autorizzato delle carte di credito; inesatta esecuzione degli ordini di bonifico); sulle valutazioni che l’intermediario è tenuto a fare prima di segnalare una sofferenza alla centrale dei rischi; sulla sussistenza o meno di obblighi di preavviso nel caso di segnalazioni agli organi di controllo; sulla sfera di legittimazione del fideiussore di avere accesso alla documentazione bancaria.</w:t>
      </w:r>
    </w:p>
    <w:p w:rsidR="00E067B6" w:rsidRPr="00E067B6" w:rsidRDefault="00E067B6" w:rsidP="00E067B6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Si può quindi concludere nel senso che, a poca distanza dalla c.d. stabilizzazione della mediazione, l’evento ha offerto una ulteriore preziosa occasione di riflessione sulla funzione e sul ruolo delle ADR, nel segno della necessità sempre più cogente di accele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rare nella direzione di un nuovo approccio culturale, oltreché tecnico, al problema della mol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tiplicazione dei rapporti giuridici a contenuto prevalentemente economico e del contenzioso da essi conseguente, che non può e non deve cercare le sue soluzioni sem</w:t>
      </w:r>
      <w:r w:rsidRPr="00E067B6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softHyphen/>
        <w:t>pre e soltanto nelle aule giudiziarie.</w:t>
      </w:r>
    </w:p>
    <w:p w:rsidR="001C2879" w:rsidRPr="00E067B6" w:rsidRDefault="001C2879" w:rsidP="00E067B6"/>
    <w:sectPr w:rsidR="001C2879" w:rsidRPr="00E06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ton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1"/>
    <w:rsid w:val="001C2879"/>
    <w:rsid w:val="00400C91"/>
    <w:rsid w:val="00E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8736">
                  <w:marLeft w:val="180"/>
                  <w:marRight w:val="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019">
                  <w:marLeft w:val="180"/>
                  <w:marRight w:val="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Tozzi</dc:creator>
  <cp:lastModifiedBy>Fabio Tozzi</cp:lastModifiedBy>
  <cp:revision>2</cp:revision>
  <dcterms:created xsi:type="dcterms:W3CDTF">2018-04-24T13:14:00Z</dcterms:created>
  <dcterms:modified xsi:type="dcterms:W3CDTF">2018-04-24T13:14:00Z</dcterms:modified>
</cp:coreProperties>
</file>