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B6" w:rsidRPr="00E067B6" w:rsidRDefault="00E067B6" w:rsidP="00E067B6">
      <w:pPr>
        <w:shd w:val="clear" w:color="auto" w:fill="FFFFFF"/>
        <w:spacing w:after="0" w:line="435" w:lineRule="atLeast"/>
        <w:outlineLvl w:val="0"/>
        <w:rPr>
          <w:rFonts w:ascii="Sintony" w:eastAsia="Times New Roman" w:hAnsi="Sintony" w:cs="Times New Roman"/>
          <w:b/>
          <w:bCs/>
          <w:color w:val="58595B"/>
          <w:kern w:val="36"/>
          <w:sz w:val="33"/>
          <w:szCs w:val="33"/>
          <w:lang w:eastAsia="it-IT"/>
        </w:rPr>
      </w:pPr>
      <w:r w:rsidRPr="00E067B6">
        <w:rPr>
          <w:rFonts w:ascii="Sintony" w:eastAsia="Times New Roman" w:hAnsi="Sintony" w:cs="Times New Roman"/>
          <w:b/>
          <w:bCs/>
          <w:color w:val="58595B"/>
          <w:kern w:val="36"/>
          <w:sz w:val="33"/>
          <w:szCs w:val="33"/>
          <w:lang w:eastAsia="it-IT"/>
        </w:rPr>
        <w:t>A</w:t>
      </w:r>
      <w:bookmarkStart w:id="0" w:name="_GoBack"/>
      <w:bookmarkEnd w:id="0"/>
      <w:r w:rsidRPr="00E067B6">
        <w:rPr>
          <w:rFonts w:ascii="Sintony" w:eastAsia="Times New Roman" w:hAnsi="Sintony" w:cs="Times New Roman"/>
          <w:b/>
          <w:bCs/>
          <w:color w:val="58595B"/>
          <w:kern w:val="36"/>
          <w:sz w:val="33"/>
          <w:szCs w:val="33"/>
          <w:lang w:eastAsia="it-IT"/>
        </w:rPr>
        <w:t xml:space="preserve"> Roma Tre la presentazione della Relazione svolta dall’Arbitro Bancario e Finanziario nel 2016</w:t>
      </w:r>
    </w:p>
    <w:p w:rsidR="00E067B6" w:rsidRPr="00E067B6" w:rsidRDefault="00E067B6" w:rsidP="00E067B6">
      <w:pPr>
        <w:shd w:val="clear" w:color="auto" w:fill="FFFFFF"/>
        <w:spacing w:line="240" w:lineRule="auto"/>
        <w:rPr>
          <w:rFonts w:ascii="Sintony" w:eastAsia="Times New Roman" w:hAnsi="Sintony" w:cs="Times New Roman"/>
          <w:color w:val="323232"/>
          <w:sz w:val="21"/>
          <w:szCs w:val="21"/>
          <w:lang w:eastAsia="it-IT"/>
        </w:rPr>
      </w:pPr>
      <w:r w:rsidRPr="00E067B6">
        <w:rPr>
          <w:rFonts w:ascii="Sintony" w:eastAsia="Times New Roman" w:hAnsi="Sintony" w:cs="Times New Roman"/>
          <w:color w:val="323232"/>
          <w:sz w:val="21"/>
          <w:szCs w:val="21"/>
          <w:lang w:eastAsia="it-IT"/>
        </w:rPr>
        <w:t>di Andrea Zanello</w:t>
      </w:r>
    </w:p>
    <w:p w:rsidR="00E067B6" w:rsidRPr="00E067B6" w:rsidRDefault="00E067B6" w:rsidP="00E067B6">
      <w:pPr>
        <w:shd w:val="clear" w:color="auto" w:fill="FFFFFF"/>
        <w:spacing w:after="0" w:line="300" w:lineRule="atLeast"/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</w:pPr>
    </w:p>
    <w:p w:rsidR="00E067B6" w:rsidRPr="00E067B6" w:rsidRDefault="00E067B6" w:rsidP="00E067B6">
      <w:pPr>
        <w:shd w:val="clear" w:color="auto" w:fill="FFFFFF"/>
        <w:spacing w:before="225" w:after="225" w:line="300" w:lineRule="atLeast"/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</w:pP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t>Nell’ambito dei sistemi alternativi di risoluzione delle controversie l’Arbitro Bancario Finanziario è oggi un organismo che si è conquistato uno spazio proprio con una organizzazione ogni anno più articolata ed effi</w:t>
      </w: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softHyphen/>
        <w:t>ciente e facendo fronte ad un sempre più elevato numero di questioni, di cui molte di importo contenuto e che difficilmente avrebbero accesso ai tribunali a causa dei costi e dei tempi del processo civile.</w:t>
      </w:r>
    </w:p>
    <w:p w:rsidR="00E067B6" w:rsidRPr="00E067B6" w:rsidRDefault="00E067B6" w:rsidP="00E067B6">
      <w:pPr>
        <w:shd w:val="clear" w:color="auto" w:fill="FFFFFF"/>
        <w:spacing w:before="225" w:after="225" w:line="300" w:lineRule="atLeast"/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</w:pP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t>ABF ha finito così per assumere un ruolo non già e non tanto di alternativa  alla giustizia ordinaria, ma di strumento di tutela in più per il cliente, che ha allar</w:t>
      </w: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softHyphen/>
        <w:t>gato il no</w:t>
      </w: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softHyphen/>
        <w:t>vero delle lamentele a cui si può in concreto porre ri</w:t>
      </w: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softHyphen/>
        <w:t>medio e che, più che sostituirsi alla giustizia ordinaria o limitarsi ad alleggerirne l’arretrato, la integra.</w:t>
      </w:r>
    </w:p>
    <w:p w:rsidR="00E067B6" w:rsidRPr="00E067B6" w:rsidRDefault="00E067B6" w:rsidP="00E067B6">
      <w:pPr>
        <w:shd w:val="clear" w:color="auto" w:fill="FFFFFF"/>
        <w:spacing w:before="225" w:after="225" w:line="300" w:lineRule="atLeast"/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</w:pP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t>Un modo nuovo e diverso, ma utile e concreto per ampliare le tutele della parte de</w:t>
      </w: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softHyphen/>
        <w:t>bole e per innalzare il livello di realizzazione dei reciproci diritti e do</w:t>
      </w: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softHyphen/>
        <w:t>veri.</w:t>
      </w:r>
    </w:p>
    <w:p w:rsidR="00E067B6" w:rsidRPr="00E067B6" w:rsidRDefault="00E067B6" w:rsidP="00E067B6">
      <w:pPr>
        <w:shd w:val="clear" w:color="auto" w:fill="FFFFFF"/>
        <w:spacing w:before="225" w:after="225" w:line="300" w:lineRule="atLeast"/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</w:pP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t>Questa è forse la più importante delle conclusioni con cui si è chiuso l’evento di presentazione della Relazione sull’attività svolta dall’ABF nel 2016, svoltosi presso la Facoltà di Giurispru</w:t>
      </w: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softHyphen/>
        <w:t>denza dell’Università Roma Tre lo scorso 20 luglio.</w:t>
      </w:r>
    </w:p>
    <w:p w:rsidR="00E067B6" w:rsidRPr="00E067B6" w:rsidRDefault="00E067B6" w:rsidP="00E067B6">
      <w:pPr>
        <w:shd w:val="clear" w:color="auto" w:fill="FFFFFF"/>
        <w:spacing w:before="225" w:after="225" w:line="300" w:lineRule="atLeast"/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</w:pP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t>Presentata dal Capo Servizio Tutela dei clienti e antiriciclaggio della Banca d’Italia Magda Bianco e dal responsabile della Divisione Coordinamento ABF Marghe</w:t>
      </w: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softHyphen/>
        <w:t xml:space="preserve">rita </w:t>
      </w:r>
      <w:proofErr w:type="spellStart"/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t>Cartechini</w:t>
      </w:r>
      <w:proofErr w:type="spellEnd"/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t>, la Rela</w:t>
      </w: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softHyphen/>
        <w:t>zione (pubblicata sul sito istituzionale di ABF) è stata discussa dal Presidente del Collegio ABF di Pa</w:t>
      </w: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softHyphen/>
        <w:t xml:space="preserve">lermo Maria Rosa Maugeri, dal Presidente del Conciliatore Bancario Finanziario Chiara Mancini e dal Presidente del Movimento Difesa del Cittadino Francesco </w:t>
      </w:r>
      <w:proofErr w:type="spellStart"/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t>Luongo</w:t>
      </w:r>
      <w:proofErr w:type="spellEnd"/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t>, sotto la stimolante e preziosa mo</w:t>
      </w: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softHyphen/>
        <w:t>derazione del Primo Presidente Aggiunto della Corte Su</w:t>
      </w: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softHyphen/>
        <w:t>prema di Cassazione Renato Rordorf. Ha concluso i lavori il Vice Direttore Generale della Banca d’Italia Luigi Fede</w:t>
      </w: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softHyphen/>
        <w:t>rico Signorini.</w:t>
      </w:r>
    </w:p>
    <w:p w:rsidR="00E067B6" w:rsidRPr="00E067B6" w:rsidRDefault="00E067B6" w:rsidP="00E067B6">
      <w:pPr>
        <w:shd w:val="clear" w:color="auto" w:fill="FFFFFF"/>
        <w:spacing w:after="0" w:line="300" w:lineRule="atLeast"/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</w:pP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t>Come è noto l’ABF, competente in materia di rapporti e servizi bancari e finan</w:t>
      </w: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softHyphen/>
        <w:t>ziari, si af</w:t>
      </w: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softHyphen/>
        <w:t>fianca in parallelo agli altri istituti di ADR (</w:t>
      </w:r>
      <w:r w:rsidRPr="00E067B6">
        <w:rPr>
          <w:rFonts w:ascii="Sintony" w:eastAsia="Times New Roman" w:hAnsi="Sintony" w:cs="Times New Roman"/>
          <w:i/>
          <w:iCs/>
          <w:color w:val="111111"/>
          <w:sz w:val="20"/>
          <w:szCs w:val="20"/>
          <w:lang w:eastAsia="it-IT"/>
        </w:rPr>
        <w:t>in primis</w:t>
      </w: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t>, mediazione e negozia</w:t>
      </w: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softHyphen/>
        <w:t>zione assi</w:t>
      </w: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softHyphen/>
        <w:t>stita) che mirano, invece, a promuovere e facilitare un percorso conciliativo consensuale.</w:t>
      </w:r>
    </w:p>
    <w:p w:rsidR="00E067B6" w:rsidRPr="00E067B6" w:rsidRDefault="00E067B6" w:rsidP="00E067B6">
      <w:pPr>
        <w:shd w:val="clear" w:color="auto" w:fill="FFFFFF"/>
        <w:spacing w:after="0" w:line="300" w:lineRule="atLeast"/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</w:pP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t>La specificità di ABF sta nel fatto che l’arbitro affronta il merito delle questioni introdotte ed emette decisioni, che sono però prive di effica</w:t>
      </w: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softHyphen/>
        <w:t>cia esecu</w:t>
      </w: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softHyphen/>
        <w:t>tiva e non vin</w:t>
      </w: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softHyphen/>
        <w:t>co</w:t>
      </w: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softHyphen/>
        <w:t>lanti per le parti, le quali, pur sostanzialmente obbligate a presen</w:t>
      </w: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softHyphen/>
        <w:t>tarsi, re</w:t>
      </w: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softHyphen/>
        <w:t>stano libere di agire comunque in giudizio: una sorta di parere </w:t>
      </w:r>
      <w:r w:rsidRPr="00E067B6">
        <w:rPr>
          <w:rFonts w:ascii="Sintony" w:eastAsia="Times New Roman" w:hAnsi="Sintony" w:cs="Times New Roman"/>
          <w:i/>
          <w:iCs/>
          <w:color w:val="111111"/>
          <w:sz w:val="20"/>
          <w:szCs w:val="20"/>
          <w:lang w:eastAsia="it-IT"/>
        </w:rPr>
        <w:t xml:space="preserve">pro </w:t>
      </w:r>
      <w:proofErr w:type="spellStart"/>
      <w:r w:rsidRPr="00E067B6">
        <w:rPr>
          <w:rFonts w:ascii="Sintony" w:eastAsia="Times New Roman" w:hAnsi="Sintony" w:cs="Times New Roman"/>
          <w:i/>
          <w:iCs/>
          <w:color w:val="111111"/>
          <w:sz w:val="20"/>
          <w:szCs w:val="20"/>
          <w:lang w:eastAsia="it-IT"/>
        </w:rPr>
        <w:t>ve</w:t>
      </w:r>
      <w:r w:rsidRPr="00E067B6">
        <w:rPr>
          <w:rFonts w:ascii="Sintony" w:eastAsia="Times New Roman" w:hAnsi="Sintony" w:cs="Times New Roman"/>
          <w:i/>
          <w:iCs/>
          <w:color w:val="111111"/>
          <w:sz w:val="20"/>
          <w:szCs w:val="20"/>
          <w:lang w:eastAsia="it-IT"/>
        </w:rPr>
        <w:softHyphen/>
        <w:t>ritate</w:t>
      </w:r>
      <w:proofErr w:type="spellEnd"/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t> e secondo diritto, prove</w:t>
      </w: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softHyphen/>
        <w:t>niente da una fonte terza e imparziale, tecnicamente qualificata e, come tale, dotata di un elevato grado di attendibilità.</w:t>
      </w:r>
    </w:p>
    <w:p w:rsidR="00E067B6" w:rsidRPr="00E067B6" w:rsidRDefault="00E067B6" w:rsidP="00E067B6">
      <w:pPr>
        <w:shd w:val="clear" w:color="auto" w:fill="FFFFFF"/>
        <w:spacing w:before="225" w:after="225" w:line="300" w:lineRule="atLeast"/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</w:pP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t>L’adesione spontanea è quindi la norma, con un tasso di inadempimento infe</w:t>
      </w: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softHyphen/>
        <w:t>riore all’1% dei casi.</w:t>
      </w:r>
    </w:p>
    <w:p w:rsidR="00E067B6" w:rsidRPr="00E067B6" w:rsidRDefault="00E067B6" w:rsidP="00E067B6">
      <w:pPr>
        <w:shd w:val="clear" w:color="auto" w:fill="FFFFFF"/>
        <w:spacing w:before="225" w:after="225" w:line="300" w:lineRule="atLeast"/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</w:pP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t>E a ciò si aggiunga che, laddove all’inadempimento sia seguito un contenzioso, l’esito del giudizio è risultato conforme alla decisione dell’Arbitro nel 73% dei casi.</w:t>
      </w:r>
    </w:p>
    <w:p w:rsidR="00E067B6" w:rsidRPr="00E067B6" w:rsidRDefault="00E067B6" w:rsidP="00E067B6">
      <w:pPr>
        <w:shd w:val="clear" w:color="auto" w:fill="FFFFFF"/>
        <w:spacing w:before="225" w:after="225" w:line="300" w:lineRule="atLeast"/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</w:pP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t>I dati del 2016 evidenziano un notevole incremento dei ricorsi presentati presso i sette Collegi attivi sul territorio (Roma, Milano e Palermo, ai quali si sono ag</w:t>
      </w: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softHyphen/>
        <w:t>giunti Torino, Bologna, Bari e Na</w:t>
      </w: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softHyphen/>
        <w:t>poli di nuova istituzione): dai 13.578 ricorsi del 2015 ai 21.652 del 2016, con un + 59,5% do</w:t>
      </w: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softHyphen/>
        <w:t>vuto principal</w:t>
      </w: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softHyphen/>
        <w:t>mente all’aumento dei ricorsi in materia di cessione del quinto dello sti</w:t>
      </w: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softHyphen/>
        <w:t>pendio o della pensione (passati da 7.414 del 2015 a 15.297 del 2016).</w:t>
      </w:r>
    </w:p>
    <w:p w:rsidR="00E067B6" w:rsidRPr="00E067B6" w:rsidRDefault="00E067B6" w:rsidP="00E067B6">
      <w:pPr>
        <w:shd w:val="clear" w:color="auto" w:fill="FFFFFF"/>
        <w:spacing w:after="0" w:line="300" w:lineRule="atLeast"/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</w:pP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lastRenderedPageBreak/>
        <w:t>Secondo un </w:t>
      </w:r>
      <w:r w:rsidRPr="00E067B6">
        <w:rPr>
          <w:rFonts w:ascii="Sintony" w:eastAsia="Times New Roman" w:hAnsi="Sintony" w:cs="Times New Roman"/>
          <w:i/>
          <w:iCs/>
          <w:color w:val="111111"/>
          <w:sz w:val="20"/>
          <w:szCs w:val="20"/>
          <w:lang w:eastAsia="it-IT"/>
        </w:rPr>
        <w:t>trend</w:t>
      </w: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t> sempre cre</w:t>
      </w: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softHyphen/>
        <w:t>scente, nella stragrande maggio</w:t>
      </w: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softHyphen/>
        <w:t>ranza dei casi i ri</w:t>
      </w: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softHyphen/>
        <w:t>correnti appartengono alla categoria dei consumatori: si tratta quindi di persone fisiche che operano, nella sostanza, per esigenze della vita quotidiana e non di professionisti, imprese, società o altri enti.</w:t>
      </w:r>
    </w:p>
    <w:p w:rsidR="00E067B6" w:rsidRPr="00E067B6" w:rsidRDefault="00E067B6" w:rsidP="00E067B6">
      <w:pPr>
        <w:shd w:val="clear" w:color="auto" w:fill="FFFFFF"/>
        <w:spacing w:before="225" w:after="225" w:line="300" w:lineRule="atLeast"/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</w:pP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t>Per tale tipologia di ricorrente si è passati dall’84% (su 5.900 ricorsi circa) del 2012 al 96% (su 21.652 ricorsi) del 2016.</w:t>
      </w:r>
    </w:p>
    <w:p w:rsidR="00E067B6" w:rsidRPr="00E067B6" w:rsidRDefault="00E067B6" w:rsidP="00E067B6">
      <w:pPr>
        <w:shd w:val="clear" w:color="auto" w:fill="FFFFFF"/>
        <w:spacing w:before="225" w:after="225" w:line="300" w:lineRule="atLeast"/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</w:pP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t>Nelle 220 riunioni tenutesi nell’anno i Collegi hanno deciso 14.739 casi (13.770 decisioni di merito e 609 pronunce di inammissibilità), con una percentuale di accogli</w:t>
      </w: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softHyphen/>
        <w:t>mento del 49,47% (6.812 casi).</w:t>
      </w:r>
    </w:p>
    <w:p w:rsidR="00E067B6" w:rsidRPr="00E067B6" w:rsidRDefault="00E067B6" w:rsidP="00E067B6">
      <w:pPr>
        <w:shd w:val="clear" w:color="auto" w:fill="FFFFFF"/>
        <w:spacing w:before="225" w:after="225" w:line="300" w:lineRule="atLeast"/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</w:pP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t>Il che ha comportato il riconoscimento alla clientela di oltre 13 milioni di euro: una risposta in tempi ragionevolmente brevi ad una domanda altrimenti destinata a ri</w:t>
      </w: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softHyphen/>
        <w:t>manere inevasa.</w:t>
      </w:r>
    </w:p>
    <w:p w:rsidR="00E067B6" w:rsidRPr="00E067B6" w:rsidRDefault="00E067B6" w:rsidP="00E067B6">
      <w:pPr>
        <w:shd w:val="clear" w:color="auto" w:fill="FFFFFF"/>
        <w:spacing w:after="0" w:line="300" w:lineRule="atLeast"/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</w:pP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t>Da questi numeri promana la funzione (per così dire) </w:t>
      </w:r>
      <w:r w:rsidRPr="00E067B6">
        <w:rPr>
          <w:rFonts w:ascii="Sintony" w:eastAsia="Times New Roman" w:hAnsi="Sintony" w:cs="Times New Roman"/>
          <w:i/>
          <w:iCs/>
          <w:color w:val="111111"/>
          <w:sz w:val="20"/>
          <w:szCs w:val="20"/>
          <w:lang w:eastAsia="it-IT"/>
        </w:rPr>
        <w:t>nomofilattica</w:t>
      </w: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t> dell’Arbitro</w:t>
      </w:r>
    </w:p>
    <w:p w:rsidR="00E067B6" w:rsidRPr="00E067B6" w:rsidRDefault="00E067B6" w:rsidP="00E067B6">
      <w:pPr>
        <w:shd w:val="clear" w:color="auto" w:fill="FFFFFF"/>
        <w:spacing w:before="225" w:after="225" w:line="300" w:lineRule="atLeast"/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</w:pP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t>L’agire dei protagonisti è positivamente condizionato dalla possibilità di di</w:t>
      </w: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softHyphen/>
        <w:t xml:space="preserve">sporre in </w:t>
      </w:r>
      <w:proofErr w:type="spellStart"/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t>anticio</w:t>
      </w:r>
      <w:proofErr w:type="spellEnd"/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t xml:space="preserve"> di indicazioni consolidate ed affidabili sul da farsi per evitare l’insorgere delle controversie, tanto che è stata rilevata una effettiva diminuzione del contenzioso in al</w:t>
      </w: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softHyphen/>
        <w:t>cune materie, quale ad esempio quella sugli utilizzi fraudolenti delle carte di debito e di credito, in virtù di una razionalizzazione dei comportamenti degli utenti e di un più alto livello dei sistemi di sicurezza, cui ha contribuito (tra gli altri fat</w:t>
      </w: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softHyphen/>
        <w:t>tori) anche l’esperienza emersa in sede arbitrale.</w:t>
      </w:r>
    </w:p>
    <w:p w:rsidR="00E067B6" w:rsidRPr="00E067B6" w:rsidRDefault="00E067B6" w:rsidP="00E067B6">
      <w:pPr>
        <w:shd w:val="clear" w:color="auto" w:fill="FFFFFF"/>
        <w:spacing w:after="0" w:line="300" w:lineRule="atLeast"/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</w:pP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t>La Relazione contiene pertanto una sintetica rassegna degli orientamenti soprat</w:t>
      </w: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softHyphen/>
        <w:t>tutto del Col</w:t>
      </w: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softHyphen/>
        <w:t>legio di coordinamento e cioè delle “</w:t>
      </w:r>
      <w:r w:rsidRPr="00E067B6">
        <w:rPr>
          <w:rFonts w:ascii="Sintony" w:eastAsia="Times New Roman" w:hAnsi="Sintony" w:cs="Times New Roman"/>
          <w:i/>
          <w:iCs/>
          <w:color w:val="111111"/>
          <w:sz w:val="20"/>
          <w:szCs w:val="20"/>
          <w:lang w:eastAsia="it-IT"/>
        </w:rPr>
        <w:t>sezioni unite</w:t>
      </w: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t>” dei Collegi territoriali.</w:t>
      </w:r>
    </w:p>
    <w:p w:rsidR="00E067B6" w:rsidRPr="00E067B6" w:rsidRDefault="00E067B6" w:rsidP="00E067B6">
      <w:pPr>
        <w:shd w:val="clear" w:color="auto" w:fill="FFFFFF"/>
        <w:spacing w:after="0" w:line="300" w:lineRule="atLeast"/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</w:pP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t>Si segnalano, tra le più importanti, le decisioni in materia di cessione del quinto (nel caso di estinzione anticipata, sui criteri di liquida</w:t>
      </w: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softHyphen/>
        <w:t>zione del rimborso dei costi pa</w:t>
      </w: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softHyphen/>
        <w:t>gati, ma non maturati e sui requisiti per la rimborsabilità delle commissioni versate all’agente; nonché sul diritto e sulla misura del risarcimento del danno per violazione del di</w:t>
      </w: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softHyphen/>
        <w:t>vieto di contrarre un nuovo finanziamento); sui criteri di calcolo del TAEG con parti</w:t>
      </w: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softHyphen/>
        <w:t>colare riferimento ai costi delle polizze assicurative ed al tema della reclamata pos</w:t>
      </w: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softHyphen/>
        <w:t>sibi</w:t>
      </w: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softHyphen/>
        <w:t>lità di sommatoria tra gli interessi corrispettivi e gli interessi di mora; sull’esercizio del c.d. </w:t>
      </w:r>
      <w:proofErr w:type="spellStart"/>
      <w:r w:rsidRPr="00E067B6">
        <w:rPr>
          <w:rFonts w:ascii="Sintony" w:eastAsia="Times New Roman" w:hAnsi="Sintony" w:cs="Times New Roman"/>
          <w:i/>
          <w:iCs/>
          <w:color w:val="111111"/>
          <w:sz w:val="20"/>
          <w:szCs w:val="20"/>
          <w:lang w:eastAsia="it-IT"/>
        </w:rPr>
        <w:t>ius</w:t>
      </w:r>
      <w:proofErr w:type="spellEnd"/>
      <w:r w:rsidRPr="00E067B6">
        <w:rPr>
          <w:rFonts w:ascii="Sintony" w:eastAsia="Times New Roman" w:hAnsi="Sintony" w:cs="Times New Roman"/>
          <w:i/>
          <w:iCs/>
          <w:color w:val="111111"/>
          <w:sz w:val="20"/>
          <w:szCs w:val="20"/>
          <w:lang w:eastAsia="it-IT"/>
        </w:rPr>
        <w:t xml:space="preserve"> </w:t>
      </w:r>
      <w:proofErr w:type="spellStart"/>
      <w:r w:rsidRPr="00E067B6">
        <w:rPr>
          <w:rFonts w:ascii="Sintony" w:eastAsia="Times New Roman" w:hAnsi="Sintony" w:cs="Times New Roman"/>
          <w:i/>
          <w:iCs/>
          <w:color w:val="111111"/>
          <w:sz w:val="20"/>
          <w:szCs w:val="20"/>
          <w:lang w:eastAsia="it-IT"/>
        </w:rPr>
        <w:t>variandi</w:t>
      </w:r>
      <w:proofErr w:type="spellEnd"/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t>; sulle varie tematiche relative la fideiussione; sulle spese legali in caso di cessazione della materia del contendere.</w:t>
      </w:r>
    </w:p>
    <w:p w:rsidR="00E067B6" w:rsidRPr="00E067B6" w:rsidRDefault="00E067B6" w:rsidP="00E067B6">
      <w:pPr>
        <w:shd w:val="clear" w:color="auto" w:fill="FFFFFF"/>
        <w:spacing w:before="225" w:after="225" w:line="300" w:lineRule="atLeast"/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</w:pP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t>Altrettanto rilevante, a conferma dell’elevato tasso di attendibilità delle deci</w:t>
      </w: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softHyphen/>
        <w:t>sioni di cui si è detto, è il capitolo dedicato al rapporto tra l’ABF ed il contenzioso civile.</w:t>
      </w:r>
    </w:p>
    <w:p w:rsidR="00E067B6" w:rsidRPr="00E067B6" w:rsidRDefault="00E067B6" w:rsidP="00E067B6">
      <w:pPr>
        <w:shd w:val="clear" w:color="auto" w:fill="FFFFFF"/>
        <w:spacing w:after="0" w:line="300" w:lineRule="atLeast"/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</w:pP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t>Mentre sui temi dell’usura in ambito bancario (metodologia di calcolo del TEG; rilevanza degli interessi di mora e dei costi eventuali; usura sopravvenuta) il quadro giu</w:t>
      </w: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softHyphen/>
        <w:t>risprudenziale di legittimità e di merito appare ancora “</w:t>
      </w:r>
      <w:r w:rsidRPr="00E067B6">
        <w:rPr>
          <w:rFonts w:ascii="Sintony" w:eastAsia="Times New Roman" w:hAnsi="Sintony" w:cs="Times New Roman"/>
          <w:i/>
          <w:iCs/>
          <w:color w:val="111111"/>
          <w:sz w:val="20"/>
          <w:szCs w:val="20"/>
          <w:lang w:eastAsia="it-IT"/>
        </w:rPr>
        <w:t>variegato</w:t>
      </w: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t>”, anche se la Rela</w:t>
      </w: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softHyphen/>
        <w:t>zione segnala tuttavia una “</w:t>
      </w:r>
      <w:r w:rsidRPr="00E067B6">
        <w:rPr>
          <w:rFonts w:ascii="Sintony" w:eastAsia="Times New Roman" w:hAnsi="Sintony" w:cs="Times New Roman"/>
          <w:i/>
          <w:iCs/>
          <w:color w:val="111111"/>
          <w:sz w:val="20"/>
          <w:szCs w:val="20"/>
          <w:lang w:eastAsia="it-IT"/>
        </w:rPr>
        <w:t>crescente attenzione dei giudici per i criteri interpretativi</w:t>
      </w: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t>” dell’arbitro, una ben maggiore conformità emerge sul contezioso relativo ai mutui ed agli altri strumenti di finanziamento (clausola di tasso minimo; indicizzazione al franco svizzero; anatocismo ed ammortamento alla francese); sulle criticità dei servizi di paga</w:t>
      </w: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softHyphen/>
        <w:t>mento (utilizzo non autorizzato delle carte di credito; inesatta esecuzione degli ordini di bonifico); sulle valutazioni che l’intermediario è tenuto a fare prima di segnalare una sofferenza alla centrale dei rischi; sulla sussistenza o meno di obblighi di preavviso nel caso di segnalazioni agli organi di controllo; sulla sfera di legittimazione del fideiussore di avere accesso alla documentazione bancaria.</w:t>
      </w:r>
    </w:p>
    <w:p w:rsidR="00E067B6" w:rsidRPr="00E067B6" w:rsidRDefault="00E067B6" w:rsidP="00E067B6">
      <w:pPr>
        <w:shd w:val="clear" w:color="auto" w:fill="FFFFFF"/>
        <w:spacing w:before="225" w:after="225" w:line="300" w:lineRule="atLeast"/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</w:pP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t>Si può quindi concludere nel senso che, a poca distanza dalla c.d. stabilizzazione della mediazione, l’evento ha offerto una ulteriore preziosa occasione di riflessione sulla funzione e sul ruolo delle ADR, nel segno della necessità sempre più cogente di accele</w:t>
      </w: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softHyphen/>
        <w:t>rare nella direzione di un nuovo approccio culturale, oltreché tecnico, al problema della mol</w:t>
      </w: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softHyphen/>
        <w:t>tiplicazione dei rapporti giuridici a contenuto prevalentemente economico e del contenzioso da essi conseguente, che non può e non deve cercare le sue soluzioni sem</w:t>
      </w:r>
      <w:r w:rsidRPr="00E067B6">
        <w:rPr>
          <w:rFonts w:ascii="Sintony" w:eastAsia="Times New Roman" w:hAnsi="Sintony" w:cs="Times New Roman"/>
          <w:color w:val="111111"/>
          <w:sz w:val="20"/>
          <w:szCs w:val="20"/>
          <w:lang w:eastAsia="it-IT"/>
        </w:rPr>
        <w:softHyphen/>
        <w:t>pre e soltanto nelle aule giudiziarie.</w:t>
      </w:r>
    </w:p>
    <w:p w:rsidR="001C2879" w:rsidRPr="00E067B6" w:rsidRDefault="001C2879" w:rsidP="00E067B6"/>
    <w:sectPr w:rsidR="001C2879" w:rsidRPr="00E067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nton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91"/>
    <w:rsid w:val="001C2879"/>
    <w:rsid w:val="00400C91"/>
    <w:rsid w:val="00E0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13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8736">
                  <w:marLeft w:val="180"/>
                  <w:marRight w:val="18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7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51019">
                  <w:marLeft w:val="180"/>
                  <w:marRight w:val="18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Tozzi</dc:creator>
  <cp:lastModifiedBy>Fabio Tozzi</cp:lastModifiedBy>
  <cp:revision>2</cp:revision>
  <dcterms:created xsi:type="dcterms:W3CDTF">2018-04-24T13:14:00Z</dcterms:created>
  <dcterms:modified xsi:type="dcterms:W3CDTF">2018-04-24T13:14:00Z</dcterms:modified>
</cp:coreProperties>
</file>